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u w:val="single"/>
          <w:shd w:fill="auto" w:val="clear"/>
        </w:rPr>
        <w:t xml:space="preserve">MT NEBO RESIDENTS’ ASSOCIATION INC</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u w:val="single"/>
          <w:shd w:fill="auto" w:val="clear"/>
        </w:rPr>
        <w:t xml:space="preserve">SPECIAL GENERAL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u w:val="single"/>
          <w:shd w:fill="auto" w:val="clear"/>
        </w:rPr>
        <w:t xml:space="preserve">MINUTES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u w:val="single"/>
          <w:shd w:fill="auto" w:val="clear"/>
        </w:rPr>
        <w:t xml:space="preserve">24 January 2024</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2"/>
          <w:shd w:fill="auto" w:val="clear"/>
        </w:rPr>
        <w:t xml:space="preserve">PRESENT</w:t>
      </w:r>
      <w:r>
        <w:rPr>
          <w:rFonts w:ascii="Arial" w:hAnsi="Arial" w:cs="Arial" w:eastAsia="Arial"/>
          <w:color w:val="000000"/>
          <w:spacing w:val="0"/>
          <w:position w:val="0"/>
          <w:sz w:val="22"/>
          <w:shd w:fill="auto" w:val="clear"/>
        </w:rPr>
        <w:t xml:space="preserve">:  Julia Hocking,Carmel Black, Fiona David, Susan Tarbit, Cathy Rough, Mark Trickey, Di Clark, Bill Scattini, Andrea Mitchell, Ross MacLeud, Ann Cazzulino, Bill Zuber, Jen Leask, Dan Kelman, Jon McIntosh, Carol Bailey, Graeme Corslant(Copelin) , Lindsay Boaler, James Eales,Lincoln Hudson, Mat Pither, Neville Bradford, Kylie Bickle, Greg Durrington, Lynn Pearce, Terry Bradford, Florence Bradford, Bill Delaney, Billy Wickenhofer, Tim Devereux, Alison Cavanagh, Fiona Wright, Nerina Barnes, Paula Hedemann, Dave Kington, Margaret Pears, Llew Rintoul, Lucy Francis, Darryl  O’Brien, Jean Balson, Daniel Barnett, Jamie Yarnold, Peter Thompson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2"/>
          <w:shd w:fill="auto" w:val="clear"/>
        </w:rPr>
        <w:t xml:space="preserve">APOLOGIES</w:t>
      </w:r>
      <w:r>
        <w:rPr>
          <w:rFonts w:ascii="Arial" w:hAnsi="Arial" w:cs="Arial" w:eastAsia="Arial"/>
          <w:color w:val="000000"/>
          <w:spacing w:val="0"/>
          <w:position w:val="0"/>
          <w:sz w:val="22"/>
          <w:shd w:fill="auto" w:val="clear"/>
        </w:rPr>
        <w:t xml:space="preserve">: Karen Mungomery, Maggie Scattini, Janice McCormack, Tony Mitchell, John Van Assen, Brian Whitaker,  A McManus, Jon King, Aliye Panos, John Panos, Wendy Reid, Les Austen, Bev Austen, Gavin Harmsworth, Ben Kanowski, Lisetta Kelly, Pat Connor, Andrea Wardle, Kylie Birt, K Hammermeister, G Hammermeister, Quentin Birt, Rebecca Henderson, Dominic Henderson, Terry Turner, Michelle Zuber, Susan Smith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2"/>
          <w:shd w:fill="auto" w:val="clear"/>
        </w:rPr>
        <w:t xml:space="preserve">FIRE RISK SUBCOMMITTEE: </w:t>
      </w:r>
      <w:r>
        <w:rPr>
          <w:rFonts w:ascii="Arial" w:hAnsi="Arial" w:cs="Arial" w:eastAsia="Arial"/>
          <w:color w:val="000000"/>
          <w:spacing w:val="0"/>
          <w:position w:val="0"/>
          <w:sz w:val="22"/>
          <w:shd w:fill="auto" w:val="clear"/>
        </w:rPr>
        <w:t xml:space="preserve">Jen Leask, Andrea Mitchell, Neville Bradford, Bill Zuber, Michelle Zuber. </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Arial" w:hAnsi="Arial" w:cs="Arial" w:eastAsia="Arial"/>
          <w:color w:val="000000"/>
          <w:spacing w:val="0"/>
          <w:position w:val="0"/>
          <w:sz w:val="30"/>
          <w:shd w:fill="auto" w:val="clear"/>
        </w:rPr>
        <w:t xml:space="preserve">Meeting opened 7.34pm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765"/>
        <w:gridCol w:w="7251"/>
      </w:tblGrid>
      <w:tr>
        <w:trPr>
          <w:trHeight w:val="1" w:hRule="atLeast"/>
          <w:jc w:val="left"/>
        </w:trPr>
        <w:tc>
          <w:tcPr>
            <w:tcW w:w="176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12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AGENDA ITEM</w:t>
            </w:r>
          </w:p>
        </w:tc>
        <w:tc>
          <w:tcPr>
            <w:tcW w:w="7251"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12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DISCUSSION</w:t>
            </w:r>
          </w:p>
        </w:tc>
      </w:tr>
      <w:tr>
        <w:trPr>
          <w:trHeight w:val="1" w:hRule="atLeast"/>
          <w:jc w:val="left"/>
        </w:trPr>
        <w:tc>
          <w:tcPr>
            <w:tcW w:w="176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Welcome</w:t>
            </w:r>
          </w:p>
        </w:tc>
        <w:tc>
          <w:tcPr>
            <w:tcW w:w="7251"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President Julia Hocking opened the meeting, acknowledged the traditional owners and welcomed those present.</w:t>
            </w:r>
          </w:p>
        </w:tc>
      </w:tr>
      <w:tr>
        <w:trPr>
          <w:trHeight w:val="1" w:hRule="atLeast"/>
          <w:jc w:val="left"/>
        </w:trPr>
        <w:tc>
          <w:tcPr>
            <w:tcW w:w="176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Subcommittee Presentation</w:t>
            </w:r>
          </w:p>
          <w:p>
            <w:pPr>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2"/>
                <w:shd w:fill="auto" w:val="clear"/>
              </w:rPr>
              <w:t xml:space="preserve">Q&amp;A</w:t>
            </w:r>
          </w:p>
        </w:tc>
        <w:tc>
          <w:tcPr>
            <w:tcW w:w="7251"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1.The Mt Glorious Community Association (MGCA) commissioned a fire risk assessment and management report for the 2024/2025 fire season by engaging an expert consultant in this field, FireSight P/L. This will improve bushfire resilience and fire literacy for our mountain communities.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2.The MNRA proposal is an extension of the Mt Glorious proposal, which will have to be accepted or not by 31 Jan 2024. Detailed information about the proposal is on the MNRA website.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3. Generally, post 2019 NSW/Vic fire season, Australian fire agencies know that more work needs to be done on fire strategy.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4. The proposed report will use accurate, independent data as inputs to the fire modelling. Parameters of fuel load, landscape and weather conditions will be used to create modelling of fire behaviours likely to affect our mountain communities. This will help residents mitigate and prepare according to their individual fire risk.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5. The results of the modelling can also be used to inform a tenure-blind fire management strategy for the mountain community. Healthy Land and Water have expressed an interest in applying for funding to have such a strategy developed for Mt Glorious and Mt Nebo. (Healthy Land and Water are the official natural resource management body for SEQ)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The Queensland Reconstruction Authority (QRA) is a government funding body which gives grants to do this kind of work.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6. MEPA will also be able to utilise the report </w:t>
            </w:r>
            <w:r>
              <w:rPr>
                <w:rFonts w:ascii="Calibri" w:hAnsi="Calibri" w:cs="Calibri" w:eastAsia="Calibri"/>
                <w:color w:val="auto"/>
                <w:spacing w:val="0"/>
                <w:position w:val="0"/>
                <w:sz w:val="22"/>
                <w:shd w:fill="auto" w:val="clear"/>
              </w:rPr>
              <w:t xml:space="preserve">to better target their activities.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2"/>
                <w:shd w:fill="auto" w:val="clear"/>
              </w:rPr>
              <w:t xml:space="preserve">7. Once the report is completed the fuel load data can be tweaked from year to year to reflect current conditions into the future without having to input all the data again. This would be relatively inexpensive.</w:t>
            </w:r>
          </w:p>
        </w:tc>
      </w:tr>
      <w:tr>
        <w:trPr>
          <w:trHeight w:val="1" w:hRule="atLeast"/>
          <w:jc w:val="left"/>
        </w:trPr>
        <w:tc>
          <w:tcPr>
            <w:tcW w:w="176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Fund raising for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$5,500  plus GST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Initial payment due  Feb24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$3025</w:t>
            </w:r>
          </w:p>
          <w:p>
            <w:pPr>
              <w:spacing w:before="0" w:after="0" w:line="240"/>
              <w:ind w:right="0" w:left="0" w:firstLine="0"/>
              <w:jc w:val="left"/>
              <w:rPr>
                <w:spacing w:val="0"/>
                <w:position w:val="0"/>
                <w:shd w:fill="auto" w:val="clear"/>
              </w:rPr>
            </w:pPr>
          </w:p>
        </w:tc>
        <w:tc>
          <w:tcPr>
            <w:tcW w:w="7251"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1. Hall events eg Movie evening (raised $2000 last year)</w:t>
            </w:r>
          </w:p>
          <w:p>
            <w:pPr>
              <w:spacing w:before="0" w:after="0" w:line="240"/>
              <w:ind w:right="0" w:left="0" w:hanging="952"/>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2. Live music gigs at the Hall</w:t>
            </w:r>
          </w:p>
          <w:p>
            <w:pPr>
              <w:spacing w:before="0" w:after="0" w:line="240"/>
              <w:ind w:right="0" w:left="0" w:hanging="952"/>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3. Apply for grants. Too late to apply to QRA, the grant would take too long to be approved.</w:t>
            </w:r>
          </w:p>
          <w:p>
            <w:pPr>
              <w:spacing w:before="0" w:after="0" w:line="240"/>
              <w:ind w:right="0" w:left="0" w:hanging="952"/>
              <w:jc w:val="left"/>
              <w:rPr>
                <w:spacing w:val="0"/>
                <w:position w:val="0"/>
                <w:shd w:fill="auto" w:val="clear"/>
              </w:rPr>
            </w:pPr>
            <w:r>
              <w:rPr>
                <w:rFonts w:ascii="Calibri" w:hAnsi="Calibri" w:cs="Calibri" w:eastAsia="Calibri"/>
                <w:color w:val="000000"/>
                <w:spacing w:val="0"/>
                <w:position w:val="0"/>
                <w:sz w:val="22"/>
                <w:shd w:fill="auto" w:val="clear"/>
              </w:rPr>
              <w:t xml:space="preserve">                   4. </w:t>
            </w:r>
            <w:r>
              <w:rPr>
                <w:rFonts w:ascii="Calibri" w:hAnsi="Calibri" w:cs="Calibri" w:eastAsia="Calibri"/>
                <w:color w:val="auto"/>
                <w:spacing w:val="0"/>
                <w:position w:val="0"/>
                <w:sz w:val="22"/>
                <w:shd w:fill="auto" w:val="clear"/>
              </w:rPr>
              <w:t xml:space="preserve">Organise a ‘Go Fund Me’ campaign</w:t>
            </w:r>
            <w:r>
              <w:rPr>
                <w:rFonts w:ascii="Times New Roman" w:hAnsi="Times New Roman" w:cs="Times New Roman" w:eastAsia="Times New Roman"/>
                <w:color w:val="auto"/>
                <w:spacing w:val="0"/>
                <w:position w:val="0"/>
                <w:sz w:val="24"/>
                <w:shd w:fill="auto" w:val="clear"/>
              </w:rPr>
              <w:t xml:space="preserve">.</w:t>
            </w:r>
          </w:p>
        </w:tc>
      </w:tr>
    </w:tbl>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Arial" w:hAnsi="Arial" w:cs="Arial" w:eastAsia="Arial"/>
          <w:b/>
          <w:color w:val="000000"/>
          <w:spacing w:val="0"/>
          <w:position w:val="0"/>
          <w:sz w:val="30"/>
          <w:shd w:fill="auto" w:val="clear"/>
        </w:rPr>
        <w:t xml:space="preserve">Motion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That MNRA accept the “Bushfire Risk Proposal” in accordance with the 11 page Proposal Document dated December 2023 submitted by Andrew Sturgess on behalf of the Contractor, FireSight Pty Ltd, and that MNRA agree to pay the Mt Nebo contribution in accordance with the terms of the agreement.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Moved: Greg Durrington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Seconded: Jean Balson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Secret Ballot       45 Yes Votes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                             17  No  Votes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Arial" w:hAnsi="Arial" w:cs="Arial" w:eastAsia="Arial"/>
          <w:color w:val="000000"/>
          <w:spacing w:val="0"/>
          <w:position w:val="0"/>
          <w:sz w:val="30"/>
          <w:shd w:fill="auto" w:val="clear"/>
        </w:rPr>
        <w:t xml:space="preserve">Meeting closed 8.55pm</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